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F0" w:rsidRDefault="005F3508">
      <w:pPr>
        <w:pStyle w:val="Heading1"/>
        <w:spacing w:before="17"/>
        <w:rPr>
          <w:u w:val="none"/>
        </w:rPr>
      </w:pPr>
      <w:r>
        <w:rPr>
          <w:u w:val="none"/>
        </w:rPr>
        <w:t>EXHIBIT D</w:t>
      </w:r>
    </w:p>
    <w:p w:rsidR="009016F0" w:rsidRDefault="009016F0">
      <w:pPr>
        <w:pStyle w:val="BodyText"/>
        <w:rPr>
          <w:b/>
          <w:sz w:val="36"/>
        </w:rPr>
      </w:pPr>
    </w:p>
    <w:p w:rsidR="009016F0" w:rsidRDefault="005F3508">
      <w:pPr>
        <w:ind w:left="3180" w:right="3180"/>
        <w:jc w:val="center"/>
        <w:rPr>
          <w:b/>
          <w:sz w:val="36"/>
        </w:rPr>
      </w:pPr>
      <w:r>
        <w:rPr>
          <w:b/>
          <w:sz w:val="36"/>
          <w:u w:val="thick"/>
        </w:rPr>
        <w:t>PUD Written Description</w:t>
      </w:r>
    </w:p>
    <w:p w:rsidR="009016F0" w:rsidRDefault="009016F0">
      <w:pPr>
        <w:pStyle w:val="BodyText"/>
        <w:spacing w:before="6"/>
        <w:rPr>
          <w:b/>
        </w:rPr>
      </w:pPr>
    </w:p>
    <w:p w:rsidR="00776570" w:rsidRDefault="005F3508" w:rsidP="001D686B">
      <w:pPr>
        <w:pStyle w:val="Heading2"/>
        <w:spacing w:before="65"/>
        <w:ind w:left="3535" w:right="3300" w:firstLine="0"/>
        <w:jc w:val="center"/>
      </w:pPr>
      <w:r>
        <w:t xml:space="preserve">North Jacksonville </w:t>
      </w:r>
      <w:r w:rsidR="00776570">
        <w:t>Solar Farm</w:t>
      </w:r>
      <w:r>
        <w:t xml:space="preserve"> </w:t>
      </w:r>
      <w:r w:rsidR="001D686B">
        <w:t>P</w:t>
      </w:r>
      <w:r>
        <w:t xml:space="preserve">UD </w:t>
      </w:r>
    </w:p>
    <w:p w:rsidR="009016F0" w:rsidRDefault="00776570">
      <w:pPr>
        <w:pStyle w:val="Heading2"/>
        <w:spacing w:before="65"/>
        <w:ind w:left="3535" w:right="3474" w:firstLine="0"/>
        <w:jc w:val="center"/>
      </w:pPr>
      <w:r>
        <w:t>January 30, 2019</w:t>
      </w:r>
    </w:p>
    <w:p w:rsidR="009016F0" w:rsidRDefault="009016F0">
      <w:pPr>
        <w:pStyle w:val="BodyText"/>
        <w:rPr>
          <w:b/>
          <w:sz w:val="20"/>
        </w:rPr>
      </w:pPr>
    </w:p>
    <w:p w:rsidR="009016F0" w:rsidRDefault="009016F0">
      <w:pPr>
        <w:pStyle w:val="BodyText"/>
        <w:spacing w:before="2"/>
        <w:rPr>
          <w:b/>
          <w:sz w:val="18"/>
        </w:rPr>
      </w:pPr>
    </w:p>
    <w:p w:rsidR="009016F0" w:rsidRDefault="005F3508">
      <w:pPr>
        <w:spacing w:before="66"/>
        <w:ind w:left="119"/>
        <w:rPr>
          <w:b/>
        </w:rPr>
      </w:pPr>
      <w:r>
        <w:rPr>
          <w:b/>
        </w:rPr>
        <w:t>RE#019449-0000 (portion)</w:t>
      </w:r>
    </w:p>
    <w:p w:rsidR="009016F0" w:rsidRDefault="009016F0">
      <w:pPr>
        <w:pStyle w:val="BodyText"/>
        <w:rPr>
          <w:b/>
        </w:rPr>
      </w:pPr>
    </w:p>
    <w:p w:rsidR="009016F0" w:rsidRDefault="005F3508" w:rsidP="001D6E73">
      <w:pPr>
        <w:pStyle w:val="ListParagraph"/>
      </w:pPr>
      <w:r>
        <w:t>DESCRIPTION OF</w:t>
      </w:r>
      <w:r>
        <w:rPr>
          <w:spacing w:val="-6"/>
        </w:rPr>
        <w:t xml:space="preserve"> </w:t>
      </w:r>
      <w:r>
        <w:t>PLANS</w:t>
      </w:r>
    </w:p>
    <w:p w:rsidR="009016F0" w:rsidRDefault="009016F0">
      <w:pPr>
        <w:pStyle w:val="BodyText"/>
        <w:spacing w:before="7"/>
        <w:rPr>
          <w:b/>
          <w:sz w:val="21"/>
        </w:rPr>
      </w:pPr>
    </w:p>
    <w:p w:rsidR="009016F0" w:rsidRDefault="005F3508">
      <w:pPr>
        <w:pStyle w:val="BodyText"/>
        <w:ind w:left="119" w:right="115"/>
        <w:jc w:val="both"/>
      </w:pPr>
      <w:r>
        <w:t>The Ap</w:t>
      </w:r>
      <w:r w:rsidR="00556FDB">
        <w:t>plicant proposes to rezone 6</w:t>
      </w:r>
      <w:r w:rsidR="008C0291">
        <w:t>6.30</w:t>
      </w:r>
      <w:r w:rsidR="00147933">
        <w:t>± acres (the “P</w:t>
      </w:r>
      <w:r>
        <w:t xml:space="preserve">roperty”) to Planned Unit Development (PUD) to allow for the development of a project known as North Jacksonville </w:t>
      </w:r>
      <w:r w:rsidR="001623E2">
        <w:t>Solar Farm</w:t>
      </w:r>
      <w:r>
        <w:t xml:space="preserve"> PUD. The property is located north of I-295 and west of Lem Turner and Newcomb Roads. The site is currently subject to the provisions of a PUD approved in 2014 (Ordinance 2013-648-E)</w:t>
      </w:r>
      <w:r w:rsidR="006C194D">
        <w:t xml:space="preserve"> and a small portion of the Property is subject to a PUD approved in 2005 (Ordinance 2005-543-E)</w:t>
      </w:r>
      <w:r>
        <w:t xml:space="preserve">. The purpose of this updated PUD is for a Solar Farm as a permitted use within the </w:t>
      </w:r>
      <w:r w:rsidR="00147933">
        <w:t>Property</w:t>
      </w:r>
      <w:r>
        <w:t xml:space="preserve"> and to allow for access from Newcomb Road as described</w:t>
      </w:r>
      <w:r>
        <w:rPr>
          <w:spacing w:val="-14"/>
        </w:rPr>
        <w:t xml:space="preserve"> </w:t>
      </w:r>
      <w:r>
        <w:t>herein.</w:t>
      </w:r>
    </w:p>
    <w:p w:rsidR="009016F0" w:rsidRDefault="009016F0">
      <w:pPr>
        <w:pStyle w:val="BodyText"/>
        <w:spacing w:before="4"/>
      </w:pPr>
    </w:p>
    <w:p w:rsidR="009016F0" w:rsidRDefault="005F3508">
      <w:pPr>
        <w:pStyle w:val="Heading2"/>
        <w:numPr>
          <w:ilvl w:val="0"/>
          <w:numId w:val="4"/>
        </w:numPr>
        <w:tabs>
          <w:tab w:val="left" w:pos="839"/>
          <w:tab w:val="left" w:pos="840"/>
        </w:tabs>
      </w:pPr>
      <w:r>
        <w:t>PLANNED UNIT DEVELOPMENT USE</w:t>
      </w:r>
      <w:r>
        <w:rPr>
          <w:spacing w:val="-5"/>
        </w:rPr>
        <w:t xml:space="preserve"> </w:t>
      </w:r>
      <w:r>
        <w:t>RESTRICTIONS</w:t>
      </w:r>
    </w:p>
    <w:p w:rsidR="009016F0" w:rsidRDefault="009016F0">
      <w:pPr>
        <w:pStyle w:val="BodyText"/>
        <w:spacing w:before="7"/>
        <w:rPr>
          <w:b/>
          <w:sz w:val="21"/>
        </w:rPr>
      </w:pPr>
    </w:p>
    <w:p w:rsidR="009016F0" w:rsidRDefault="005F3508">
      <w:pPr>
        <w:pStyle w:val="BodyText"/>
        <w:ind w:left="119" w:right="113"/>
        <w:jc w:val="both"/>
      </w:pPr>
      <w:r>
        <w:t xml:space="preserve">The </w:t>
      </w:r>
      <w:r w:rsidR="00147933">
        <w:t>Property</w:t>
      </w:r>
      <w:r>
        <w:t xml:space="preserve"> is intended to be developed as a Solar Farm consistent with the current Industrial Light (IL) zoning category as set forth in the Jacksonville Code of Ordinances and as modified herein. The </w:t>
      </w:r>
      <w:r w:rsidR="00147933">
        <w:t>Property</w:t>
      </w:r>
      <w:r>
        <w:t xml:space="preserve"> will comply with all IL development restrictions.</w:t>
      </w:r>
    </w:p>
    <w:p w:rsidR="009016F0" w:rsidRDefault="009016F0">
      <w:pPr>
        <w:pStyle w:val="BodyText"/>
        <w:spacing w:before="6"/>
      </w:pPr>
    </w:p>
    <w:p w:rsidR="009016F0" w:rsidRDefault="005F3508">
      <w:pPr>
        <w:pStyle w:val="Heading2"/>
        <w:numPr>
          <w:ilvl w:val="0"/>
          <w:numId w:val="3"/>
        </w:numPr>
        <w:tabs>
          <w:tab w:val="left" w:pos="839"/>
          <w:tab w:val="left" w:pos="840"/>
        </w:tabs>
      </w:pPr>
      <w:r>
        <w:t>PERMITTED USES AND</w:t>
      </w:r>
      <w:r>
        <w:rPr>
          <w:spacing w:val="-4"/>
        </w:rPr>
        <w:t xml:space="preserve"> </w:t>
      </w:r>
      <w:r>
        <w:t>RESTRICTIONS</w:t>
      </w:r>
    </w:p>
    <w:p w:rsidR="009016F0" w:rsidRDefault="009016F0">
      <w:pPr>
        <w:pStyle w:val="BodyText"/>
        <w:spacing w:before="7"/>
        <w:rPr>
          <w:b/>
          <w:sz w:val="21"/>
        </w:rPr>
      </w:pPr>
    </w:p>
    <w:p w:rsidR="009016F0" w:rsidRDefault="005F3508">
      <w:pPr>
        <w:pStyle w:val="BodyText"/>
        <w:ind w:left="119" w:right="115"/>
        <w:jc w:val="both"/>
      </w:pPr>
      <w:r>
        <w:t>The 2030 Comprehensive Plan Future Land Use Map (FLUM) designation</w:t>
      </w:r>
      <w:r w:rsidR="00F27C0E">
        <w:t>s</w:t>
      </w:r>
      <w:r>
        <w:t xml:space="preserve"> for this </w:t>
      </w:r>
      <w:r w:rsidR="00147933">
        <w:t>Property</w:t>
      </w:r>
      <w:r w:rsidR="00F27C0E">
        <w:t xml:space="preserve"> are</w:t>
      </w:r>
      <w:r>
        <w:t xml:space="preserve"> Light Industrial (LI)</w:t>
      </w:r>
      <w:r w:rsidR="006C194D">
        <w:t xml:space="preserve"> and</w:t>
      </w:r>
      <w:r w:rsidR="00F27C0E">
        <w:t xml:space="preserve"> a</w:t>
      </w:r>
      <w:r w:rsidR="006C194D">
        <w:t xml:space="preserve"> small portion of L</w:t>
      </w:r>
      <w:r w:rsidR="00F27C0E">
        <w:t>ow Density Residential (LDR)</w:t>
      </w:r>
      <w:r>
        <w:t>. The current zoning is PUD. The purpose of the application for a PUD to PUD modification is to allow for a Solar Farm use which is consistent with the LI</w:t>
      </w:r>
      <w:r w:rsidR="00F27C0E">
        <w:t xml:space="preserve"> and LDR FLUM categories</w:t>
      </w:r>
      <w:r>
        <w:t xml:space="preserve"> of the </w:t>
      </w:r>
      <w:r>
        <w:rPr>
          <w:b/>
        </w:rPr>
        <w:t xml:space="preserve">2030 </w:t>
      </w:r>
      <w:r>
        <w:t>Comprehensive Plan</w:t>
      </w:r>
      <w:r w:rsidR="00F27C0E">
        <w:t>, as applicable</w:t>
      </w:r>
      <w:r>
        <w:t xml:space="preserve">. The </w:t>
      </w:r>
      <w:r w:rsidR="00147933">
        <w:t>Property</w:t>
      </w:r>
      <w:r w:rsidR="00F27C0E">
        <w:t xml:space="preserve"> is subject to</w:t>
      </w:r>
      <w:r>
        <w:t xml:space="preserve"> existing PUD</w:t>
      </w:r>
      <w:r w:rsidR="00F27C0E">
        <w:t xml:space="preserve">’s  </w:t>
      </w:r>
      <w:r>
        <w:t>2013-648-E</w:t>
      </w:r>
      <w:r w:rsidR="00F27C0E">
        <w:t xml:space="preserve"> and 2005-543-E</w:t>
      </w:r>
      <w:r>
        <w:t>.</w:t>
      </w:r>
    </w:p>
    <w:p w:rsidR="009016F0" w:rsidRDefault="009016F0">
      <w:pPr>
        <w:pStyle w:val="BodyText"/>
      </w:pPr>
    </w:p>
    <w:p w:rsidR="009016F0" w:rsidRDefault="005F3508" w:rsidP="001D6E73">
      <w:pPr>
        <w:pStyle w:val="ListParagraph"/>
      </w:pPr>
      <w:r>
        <w:t>Permitted</w:t>
      </w:r>
      <w:r>
        <w:rPr>
          <w:spacing w:val="-1"/>
        </w:rPr>
        <w:t xml:space="preserve"> </w:t>
      </w:r>
      <w:r>
        <w:t>Uses</w:t>
      </w:r>
    </w:p>
    <w:p w:rsidR="009016F0" w:rsidRDefault="009016F0">
      <w:pPr>
        <w:pStyle w:val="BodyText"/>
        <w:spacing w:before="4"/>
        <w:rPr>
          <w:sz w:val="16"/>
        </w:rPr>
      </w:pPr>
    </w:p>
    <w:p w:rsidR="009016F0" w:rsidRDefault="005F3508">
      <w:pPr>
        <w:pStyle w:val="BodyText"/>
        <w:spacing w:before="63"/>
        <w:ind w:left="119"/>
      </w:pPr>
      <w:r>
        <w:t xml:space="preserve">The permitted uses on the </w:t>
      </w:r>
      <w:r w:rsidR="00147933">
        <w:t>Property</w:t>
      </w:r>
      <w:r>
        <w:t xml:space="preserve"> shall be as follows:</w:t>
      </w:r>
    </w:p>
    <w:p w:rsidR="009016F0" w:rsidRDefault="009016F0">
      <w:pPr>
        <w:pStyle w:val="BodyText"/>
      </w:pPr>
    </w:p>
    <w:p w:rsidR="009016F0" w:rsidRDefault="005F3508" w:rsidP="001D6E73">
      <w:pPr>
        <w:pStyle w:val="ListParagraph"/>
      </w:pPr>
      <w:r>
        <w:t>Permitted uses and</w:t>
      </w:r>
      <w:r>
        <w:rPr>
          <w:spacing w:val="-1"/>
        </w:rPr>
        <w:t xml:space="preserve"> </w:t>
      </w:r>
      <w:r>
        <w:t>structures</w:t>
      </w:r>
    </w:p>
    <w:p w:rsidR="009016F0" w:rsidRDefault="009016F0">
      <w:pPr>
        <w:pStyle w:val="BodyText"/>
        <w:spacing w:before="1"/>
      </w:pPr>
      <w:bookmarkStart w:id="0" w:name="_GoBack"/>
      <w:bookmarkEnd w:id="0"/>
    </w:p>
    <w:p w:rsidR="009016F0" w:rsidRDefault="005F3508" w:rsidP="00D32EE1">
      <w:pPr>
        <w:pStyle w:val="ListParagraph"/>
        <w:numPr>
          <w:ilvl w:val="0"/>
          <w:numId w:val="7"/>
        </w:numPr>
        <w:ind w:left="1800"/>
        <w:jc w:val="both"/>
      </w:pPr>
      <w:r>
        <w:t>Essential services, including water, sewer, gas, telephone, radio and electric, meeting the performance standards and development criteria set forth in Part</w:t>
      </w:r>
      <w:r>
        <w:rPr>
          <w:spacing w:val="-8"/>
        </w:rPr>
        <w:t xml:space="preserve"> </w:t>
      </w:r>
      <w:r>
        <w:t>4.</w:t>
      </w:r>
    </w:p>
    <w:p w:rsidR="009016F0" w:rsidRDefault="009016F0" w:rsidP="00211980">
      <w:pPr>
        <w:pStyle w:val="BodyText"/>
        <w:spacing w:before="11"/>
        <w:ind w:left="1080"/>
        <w:rPr>
          <w:sz w:val="21"/>
        </w:rPr>
      </w:pPr>
    </w:p>
    <w:p w:rsidR="009016F0" w:rsidRDefault="005F3508" w:rsidP="00211980">
      <w:pPr>
        <w:pStyle w:val="ListParagraph"/>
        <w:numPr>
          <w:ilvl w:val="0"/>
          <w:numId w:val="7"/>
        </w:numPr>
        <w:ind w:left="1800"/>
      </w:pPr>
      <w:r>
        <w:t>Solar Farm or Photovoltaic Generation</w:t>
      </w:r>
      <w:r>
        <w:rPr>
          <w:spacing w:val="-11"/>
        </w:rPr>
        <w:t xml:space="preserve"> </w:t>
      </w:r>
      <w:r>
        <w:t>System.</w:t>
      </w:r>
    </w:p>
    <w:p w:rsidR="009016F0" w:rsidRDefault="009016F0">
      <w:pPr>
        <w:pStyle w:val="BodyText"/>
      </w:pPr>
    </w:p>
    <w:p w:rsidR="001D6E73" w:rsidRDefault="001D6E73" w:rsidP="001D6B27"/>
    <w:p w:rsidR="0067092E" w:rsidRDefault="0067092E" w:rsidP="001D6E73">
      <w:pPr>
        <w:pStyle w:val="ListParagraph"/>
      </w:pPr>
      <w:r>
        <w:t xml:space="preserve">Permitted accessory uses of the </w:t>
      </w:r>
      <w:r w:rsidR="00147933">
        <w:t>Property</w:t>
      </w:r>
      <w:r>
        <w:t>:</w:t>
      </w:r>
    </w:p>
    <w:p w:rsidR="0067092E" w:rsidRDefault="0067092E" w:rsidP="001D6E73">
      <w:pPr>
        <w:pStyle w:val="ListParagraph"/>
      </w:pPr>
    </w:p>
    <w:p w:rsidR="0067092E" w:rsidRDefault="001D6B27" w:rsidP="001D6B27">
      <w:pPr>
        <w:pStyle w:val="ListParagraph"/>
        <w:ind w:left="1440" w:hanging="600"/>
      </w:pPr>
      <w:r>
        <w:t xml:space="preserve">(1) </w:t>
      </w:r>
      <w:r>
        <w:tab/>
        <w:t>Permitted accessory uses of the Property shall be allowed as set forth in Section</w:t>
      </w:r>
      <w:r w:rsidR="0067092E">
        <w:t xml:space="preserve"> 656.403</w:t>
      </w:r>
      <w:r>
        <w:t xml:space="preserve"> of the City’s Ordinance Code</w:t>
      </w:r>
      <w:r w:rsidR="0067092E">
        <w:t>.</w:t>
      </w:r>
    </w:p>
    <w:p w:rsidR="0067092E" w:rsidRDefault="0067092E" w:rsidP="001D6E73">
      <w:pPr>
        <w:pStyle w:val="ListParagraph"/>
      </w:pPr>
    </w:p>
    <w:p w:rsidR="009016F0" w:rsidRDefault="009016F0">
      <w:pPr>
        <w:sectPr w:rsidR="009016F0">
          <w:footerReference w:type="even" r:id="rId8"/>
          <w:footerReference w:type="default" r:id="rId9"/>
          <w:footerReference w:type="first" r:id="rId10"/>
          <w:type w:val="continuous"/>
          <w:pgSz w:w="12240" w:h="15840"/>
          <w:pgMar w:top="1420" w:right="600" w:bottom="860" w:left="1320" w:header="720" w:footer="669" w:gutter="0"/>
          <w:cols w:space="720"/>
        </w:sectPr>
      </w:pPr>
    </w:p>
    <w:p w:rsidR="009016F0" w:rsidRDefault="005F3508" w:rsidP="001D6E73">
      <w:pPr>
        <w:pStyle w:val="ListParagraph"/>
      </w:pPr>
      <w:r>
        <w:lastRenderedPageBreak/>
        <w:t>Minimum lot requirements (width and area).</w:t>
      </w:r>
      <w:r>
        <w:rPr>
          <w:spacing w:val="-9"/>
        </w:rPr>
        <w:t xml:space="preserve"> </w:t>
      </w:r>
      <w:r>
        <w:t>None.</w:t>
      </w:r>
    </w:p>
    <w:p w:rsidR="009016F0" w:rsidRDefault="009016F0">
      <w:pPr>
        <w:pStyle w:val="BodyText"/>
      </w:pPr>
    </w:p>
    <w:p w:rsidR="009016F0" w:rsidRDefault="005F3508" w:rsidP="001D6E73">
      <w:pPr>
        <w:pStyle w:val="ListParagraph"/>
      </w:pPr>
      <w:r>
        <w:t>Maximum lot coverage by all buildings.</w:t>
      </w:r>
      <w:r>
        <w:rPr>
          <w:spacing w:val="-8"/>
        </w:rPr>
        <w:t xml:space="preserve"> </w:t>
      </w:r>
      <w:r>
        <w:t>None.</w:t>
      </w:r>
    </w:p>
    <w:p w:rsidR="009016F0" w:rsidRDefault="009016F0">
      <w:pPr>
        <w:pStyle w:val="BodyText"/>
      </w:pPr>
    </w:p>
    <w:p w:rsidR="009016F0" w:rsidRDefault="005F3508" w:rsidP="001D6E73">
      <w:pPr>
        <w:pStyle w:val="ListParagraph"/>
      </w:pPr>
      <w:r>
        <w:t>Minimum yard requirements.</w:t>
      </w:r>
      <w:r>
        <w:rPr>
          <w:spacing w:val="-3"/>
        </w:rPr>
        <w:t xml:space="preserve"> </w:t>
      </w:r>
      <w:r>
        <w:t>None.</w:t>
      </w:r>
    </w:p>
    <w:p w:rsidR="009016F0" w:rsidRDefault="009016F0">
      <w:pPr>
        <w:pStyle w:val="BodyText"/>
        <w:spacing w:before="10"/>
        <w:rPr>
          <w:sz w:val="21"/>
        </w:rPr>
      </w:pPr>
    </w:p>
    <w:p w:rsidR="009016F0" w:rsidRDefault="005F3508" w:rsidP="001D6E73">
      <w:pPr>
        <w:pStyle w:val="ListParagraph"/>
      </w:pPr>
      <w:r>
        <w:t>Maximum height of structures. Fifty feet</w:t>
      </w:r>
      <w:r>
        <w:rPr>
          <w:spacing w:val="-5"/>
        </w:rPr>
        <w:t xml:space="preserve"> </w:t>
      </w:r>
      <w:r>
        <w:t>(50’).</w:t>
      </w:r>
    </w:p>
    <w:p w:rsidR="009016F0" w:rsidRDefault="009016F0">
      <w:pPr>
        <w:pStyle w:val="BodyText"/>
      </w:pPr>
    </w:p>
    <w:p w:rsidR="009016F0" w:rsidRDefault="001623E2" w:rsidP="001D6E73">
      <w:pPr>
        <w:pStyle w:val="ListParagraph"/>
      </w:pPr>
      <w:r>
        <w:t xml:space="preserve">There shall be no </w:t>
      </w:r>
      <w:r w:rsidR="005F3508">
        <w:t>Parking and Loading</w:t>
      </w:r>
      <w:r w:rsidR="005F3508">
        <w:rPr>
          <w:spacing w:val="-6"/>
        </w:rPr>
        <w:t xml:space="preserve"> </w:t>
      </w:r>
      <w:r w:rsidR="005F3508">
        <w:t>Requirements</w:t>
      </w:r>
    </w:p>
    <w:p w:rsidR="009016F0" w:rsidRDefault="009016F0">
      <w:pPr>
        <w:pStyle w:val="BodyText"/>
        <w:spacing w:before="7"/>
        <w:rPr>
          <w:sz w:val="16"/>
        </w:rPr>
      </w:pPr>
    </w:p>
    <w:p w:rsidR="009016F0" w:rsidRDefault="009016F0">
      <w:pPr>
        <w:pStyle w:val="BodyText"/>
        <w:spacing w:before="11"/>
        <w:rPr>
          <w:sz w:val="21"/>
        </w:rPr>
      </w:pPr>
    </w:p>
    <w:p w:rsidR="009016F0" w:rsidRDefault="005F3508" w:rsidP="001D6E73">
      <w:pPr>
        <w:pStyle w:val="ListParagraph"/>
      </w:pPr>
      <w:r>
        <w:t>Access, Internal and External Road</w:t>
      </w:r>
      <w:r>
        <w:rPr>
          <w:spacing w:val="-5"/>
        </w:rPr>
        <w:t xml:space="preserve"> </w:t>
      </w:r>
      <w:r>
        <w:t>Activities</w:t>
      </w:r>
    </w:p>
    <w:p w:rsidR="009016F0" w:rsidRDefault="009016F0">
      <w:pPr>
        <w:pStyle w:val="BodyText"/>
        <w:spacing w:before="7"/>
        <w:rPr>
          <w:sz w:val="16"/>
        </w:rPr>
      </w:pPr>
    </w:p>
    <w:p w:rsidR="009016F0" w:rsidRDefault="005F3508">
      <w:pPr>
        <w:pStyle w:val="BodyText"/>
        <w:spacing w:before="62"/>
        <w:ind w:left="119" w:right="115"/>
        <w:jc w:val="both"/>
      </w:pPr>
      <w:r>
        <w:t>Access, internal and external road activities and other traffic approvals shall be as shown on the conceptual site plan. As shown on the conceptual site plan, the access</w:t>
      </w:r>
      <w:r w:rsidR="001D6B27">
        <w:t xml:space="preserve"> and utilities</w:t>
      </w:r>
      <w:r>
        <w:t xml:space="preserve"> to the </w:t>
      </w:r>
      <w:r w:rsidR="00147933">
        <w:t>Property</w:t>
      </w:r>
      <w:r>
        <w:t xml:space="preserve"> shall be provided from Newcomb Road via an access </w:t>
      </w:r>
      <w:r w:rsidR="001D6B27">
        <w:t xml:space="preserve">and utilities </w:t>
      </w:r>
      <w:r>
        <w:t>easement through the adjacent property to Newcomb Road</w:t>
      </w:r>
      <w:r w:rsidR="001D6B27">
        <w:t xml:space="preserve"> as generally shown on the</w:t>
      </w:r>
      <w:r w:rsidR="00316830">
        <w:t xml:space="preserve"> conceptual site plan</w:t>
      </w:r>
      <w:r>
        <w:t>. The final design of the access location, internal and external road activities shall be subject to the review and approval of the Planning Department. This PUD approves the following waiver as permitted by Section 656.133(d) of the City of Jacksonville Zoning</w:t>
      </w:r>
      <w:r>
        <w:rPr>
          <w:spacing w:val="-26"/>
        </w:rPr>
        <w:t xml:space="preserve"> </w:t>
      </w:r>
      <w:r>
        <w:t>Code.</w:t>
      </w:r>
    </w:p>
    <w:p w:rsidR="009016F0" w:rsidRDefault="009016F0">
      <w:pPr>
        <w:pStyle w:val="BodyText"/>
      </w:pPr>
    </w:p>
    <w:p w:rsidR="009016F0" w:rsidRDefault="005F3508" w:rsidP="00D32EE1">
      <w:pPr>
        <w:pStyle w:val="ListParagraph"/>
        <w:jc w:val="both"/>
      </w:pPr>
      <w:r>
        <w:t>Waiver for Minimum Street Frontage. As described above, access</w:t>
      </w:r>
      <w:r w:rsidR="00316830">
        <w:t xml:space="preserve"> and utilities</w:t>
      </w:r>
      <w:r>
        <w:t xml:space="preserve"> to the </w:t>
      </w:r>
      <w:r w:rsidR="00147933">
        <w:t>Property</w:t>
      </w:r>
      <w:r>
        <w:t xml:space="preserve"> will be provided by an access </w:t>
      </w:r>
      <w:r w:rsidR="00316830">
        <w:t xml:space="preserve">and utilities </w:t>
      </w:r>
      <w:r>
        <w:t>easement</w:t>
      </w:r>
      <w:r w:rsidR="00316830">
        <w:t xml:space="preserve"> through the adjacent property</w:t>
      </w:r>
      <w:r>
        <w:t xml:space="preserve"> to a public street that will be provided to accommodate the needs of the Solar Farm. The Solar Farm use is a low generator of daily traffic, once the construction and installation activity is completed. There are no buildings or permanent employees associated with the Solar Farm. For this reason, it is not necessary or practical to provide the minimum required street frontage to the </w:t>
      </w:r>
      <w:r w:rsidR="00147933">
        <w:t>Property</w:t>
      </w:r>
      <w:r>
        <w:t xml:space="preserve">. The </w:t>
      </w:r>
      <w:r w:rsidR="00147933">
        <w:t>Property</w:t>
      </w:r>
      <w:r>
        <w:t xml:space="preserve"> will not be subdivided and the waiver for street frontage will not diminish property values nor alter the essential character of the surrounding area. Adequate vehicular access to the </w:t>
      </w:r>
      <w:r w:rsidR="00147933">
        <w:t>Property</w:t>
      </w:r>
      <w:r>
        <w:t xml:space="preserve"> will be accomplished through an easement to Newcomb</w:t>
      </w:r>
      <w:r>
        <w:rPr>
          <w:spacing w:val="-3"/>
        </w:rPr>
        <w:t xml:space="preserve"> </w:t>
      </w:r>
      <w:r>
        <w:t>Road.</w:t>
      </w:r>
    </w:p>
    <w:p w:rsidR="009016F0" w:rsidRDefault="009016F0">
      <w:pPr>
        <w:pStyle w:val="BodyText"/>
      </w:pPr>
    </w:p>
    <w:p w:rsidR="009016F0" w:rsidRDefault="009016F0">
      <w:pPr>
        <w:pStyle w:val="BodyText"/>
        <w:spacing w:before="4"/>
      </w:pPr>
    </w:p>
    <w:p w:rsidR="009016F0" w:rsidRDefault="005F3508">
      <w:pPr>
        <w:pStyle w:val="Heading2"/>
        <w:numPr>
          <w:ilvl w:val="0"/>
          <w:numId w:val="3"/>
        </w:numPr>
        <w:tabs>
          <w:tab w:val="left" w:pos="840"/>
        </w:tabs>
        <w:jc w:val="both"/>
      </w:pPr>
      <w:r>
        <w:t>DEVELOPMENT</w:t>
      </w:r>
      <w:r>
        <w:rPr>
          <w:spacing w:val="-2"/>
        </w:rPr>
        <w:t xml:space="preserve"> </w:t>
      </w:r>
      <w:r>
        <w:t>STANDARDS</w:t>
      </w:r>
    </w:p>
    <w:p w:rsidR="009016F0" w:rsidRDefault="009016F0">
      <w:pPr>
        <w:pStyle w:val="BodyText"/>
        <w:spacing w:before="7"/>
        <w:rPr>
          <w:b/>
          <w:sz w:val="21"/>
        </w:rPr>
      </w:pPr>
    </w:p>
    <w:p w:rsidR="009016F0" w:rsidRDefault="005F3508" w:rsidP="001D6E73">
      <w:pPr>
        <w:pStyle w:val="ListParagraph"/>
      </w:pPr>
      <w:r>
        <w:t>Retention</w:t>
      </w:r>
    </w:p>
    <w:p w:rsidR="009016F0" w:rsidRDefault="009016F0">
      <w:pPr>
        <w:pStyle w:val="BodyText"/>
        <w:spacing w:before="7"/>
        <w:rPr>
          <w:sz w:val="16"/>
        </w:rPr>
      </w:pPr>
    </w:p>
    <w:p w:rsidR="009016F0" w:rsidRDefault="005F3508">
      <w:pPr>
        <w:pStyle w:val="BodyText"/>
        <w:spacing w:before="63"/>
        <w:ind w:left="119"/>
      </w:pPr>
      <w:r>
        <w:t>If required, stormwater retention/detention system shall be designed and constructed in accordance with the requirements of the City of Jacksonville and the St. Johns River Water Management District.</w:t>
      </w:r>
    </w:p>
    <w:p w:rsidR="009016F0" w:rsidRDefault="009016F0">
      <w:pPr>
        <w:pStyle w:val="BodyText"/>
      </w:pPr>
    </w:p>
    <w:p w:rsidR="009016F0" w:rsidRDefault="009016F0">
      <w:pPr>
        <w:pStyle w:val="BodyText"/>
        <w:spacing w:before="3"/>
      </w:pPr>
    </w:p>
    <w:p w:rsidR="009016F0" w:rsidRDefault="005F3508">
      <w:pPr>
        <w:pStyle w:val="Heading2"/>
        <w:numPr>
          <w:ilvl w:val="0"/>
          <w:numId w:val="3"/>
        </w:numPr>
        <w:tabs>
          <w:tab w:val="left" w:pos="839"/>
          <w:tab w:val="left" w:pos="840"/>
        </w:tabs>
      </w:pPr>
      <w:r>
        <w:t>PLANNED UNIT DEVELOPMENT DESIGN</w:t>
      </w:r>
      <w:r>
        <w:rPr>
          <w:spacing w:val="-5"/>
        </w:rPr>
        <w:t xml:space="preserve"> </w:t>
      </w:r>
      <w:r>
        <w:t>GUIDELINES</w:t>
      </w:r>
    </w:p>
    <w:p w:rsidR="009016F0" w:rsidRDefault="009016F0">
      <w:pPr>
        <w:pStyle w:val="BodyText"/>
        <w:spacing w:before="7"/>
        <w:rPr>
          <w:b/>
          <w:sz w:val="21"/>
        </w:rPr>
      </w:pPr>
    </w:p>
    <w:p w:rsidR="009016F0" w:rsidRDefault="005F3508" w:rsidP="001D6E73">
      <w:pPr>
        <w:pStyle w:val="ListParagraph"/>
      </w:pPr>
      <w:r>
        <w:t>Tree Protection and Landscape</w:t>
      </w:r>
      <w:r>
        <w:rPr>
          <w:spacing w:val="-4"/>
        </w:rPr>
        <w:t xml:space="preserve"> </w:t>
      </w:r>
      <w:r>
        <w:t>Buffers</w:t>
      </w:r>
    </w:p>
    <w:p w:rsidR="009016F0" w:rsidRDefault="009016F0">
      <w:pPr>
        <w:pStyle w:val="BodyText"/>
        <w:spacing w:before="7"/>
        <w:rPr>
          <w:sz w:val="16"/>
        </w:rPr>
      </w:pPr>
    </w:p>
    <w:p w:rsidR="009016F0" w:rsidRDefault="005F3508">
      <w:pPr>
        <w:pStyle w:val="BodyText"/>
        <w:spacing w:before="63"/>
        <w:ind w:left="119" w:right="115"/>
        <w:jc w:val="both"/>
      </w:pPr>
      <w:r>
        <w:t>The PUD shall be subject to the requirements of the City of Jacksonville Zoning Code Part 12, except as modified herein. The Solar Farm use is exempt from the requirements of Part 12 of the Zoning Code, specifically perimeter landscape requirements; except that all Zoning Code and City Charter tree protection and mitigation requirements shall be satisfied. However, a landscape buffer at least 14 feet in width including a visual screen of at least 6 feet in height and 85 percent opacity shall be required along the eastern property boundary of the</w:t>
      </w:r>
      <w:r>
        <w:rPr>
          <w:spacing w:val="-20"/>
        </w:rPr>
        <w:t xml:space="preserve"> </w:t>
      </w:r>
      <w:r>
        <w:t>PUD.</w:t>
      </w:r>
    </w:p>
    <w:p w:rsidR="009016F0" w:rsidRDefault="009016F0">
      <w:pPr>
        <w:jc w:val="both"/>
        <w:sectPr w:rsidR="009016F0">
          <w:pgSz w:w="12240" w:h="15840"/>
          <w:pgMar w:top="1400" w:right="600" w:bottom="860" w:left="1320" w:header="0" w:footer="669" w:gutter="0"/>
          <w:cols w:space="720"/>
        </w:sectPr>
      </w:pPr>
    </w:p>
    <w:p w:rsidR="009016F0" w:rsidRDefault="005F3508" w:rsidP="001D6E73">
      <w:pPr>
        <w:pStyle w:val="ListParagraph"/>
      </w:pPr>
      <w:r>
        <w:lastRenderedPageBreak/>
        <w:t>Signage</w:t>
      </w:r>
    </w:p>
    <w:p w:rsidR="009016F0" w:rsidRDefault="009016F0">
      <w:pPr>
        <w:pStyle w:val="BodyText"/>
        <w:spacing w:before="6"/>
        <w:rPr>
          <w:sz w:val="16"/>
        </w:rPr>
      </w:pPr>
    </w:p>
    <w:p w:rsidR="009016F0" w:rsidRDefault="005F3508">
      <w:pPr>
        <w:pStyle w:val="BodyText"/>
        <w:spacing w:before="63"/>
        <w:ind w:left="119"/>
      </w:pPr>
      <w:r>
        <w:t xml:space="preserve">The number, location, height and size of general signage on the </w:t>
      </w:r>
      <w:r w:rsidR="00147933">
        <w:t>Property</w:t>
      </w:r>
      <w:r>
        <w:t xml:space="preserve"> shall be in accordance with the Sign Ordinance of the City of Jacksonville for the current IL Zoning District.</w:t>
      </w:r>
    </w:p>
    <w:p w:rsidR="009016F0" w:rsidRDefault="009016F0">
      <w:pPr>
        <w:pStyle w:val="BodyText"/>
        <w:spacing w:before="11"/>
        <w:rPr>
          <w:sz w:val="21"/>
        </w:rPr>
      </w:pPr>
    </w:p>
    <w:p w:rsidR="009016F0" w:rsidRDefault="005F3508" w:rsidP="001D6E73">
      <w:pPr>
        <w:pStyle w:val="ListParagraph"/>
      </w:pPr>
      <w:r>
        <w:t>Lighting</w:t>
      </w:r>
    </w:p>
    <w:p w:rsidR="009016F0" w:rsidRDefault="009016F0">
      <w:pPr>
        <w:pStyle w:val="BodyText"/>
        <w:spacing w:before="7"/>
        <w:rPr>
          <w:sz w:val="16"/>
        </w:rPr>
      </w:pPr>
    </w:p>
    <w:p w:rsidR="009016F0" w:rsidRDefault="005F3508">
      <w:pPr>
        <w:pStyle w:val="BodyText"/>
        <w:spacing w:before="62"/>
        <w:ind w:left="119" w:right="115"/>
        <w:jc w:val="both"/>
      </w:pPr>
      <w:r>
        <w:t>All light fixtures, including security lighting, shall be cutoff fixtures and should be incorporated as an integral design element that complements the design of the building and project through its design style, materials, and color. All cutoff fixtures shall not have more than one percent of lamp lumens above the horizontal. All sag lenses, drop lenses and convex lenses shall be prohibited. Illumination levels at the property line shall not exceed one-half footcandle where adjacent to residential areas or rights-of-way, and one footcandle where adjacent to nonresidential uses. A lighting plan showing the photometrics, pole height and fixtures shall be submitted, subject to the review and approval of the Planning and Development Department, at the time of verification of substantial compliance to the</w:t>
      </w:r>
      <w:r>
        <w:rPr>
          <w:spacing w:val="-5"/>
        </w:rPr>
        <w:t xml:space="preserve"> </w:t>
      </w:r>
      <w:r>
        <w:t>PUD.</w:t>
      </w:r>
    </w:p>
    <w:p w:rsidR="009016F0" w:rsidRDefault="009016F0">
      <w:pPr>
        <w:pStyle w:val="BodyText"/>
      </w:pPr>
    </w:p>
    <w:p w:rsidR="009016F0" w:rsidRDefault="009016F0">
      <w:pPr>
        <w:pStyle w:val="BodyText"/>
        <w:spacing w:before="5"/>
      </w:pPr>
    </w:p>
    <w:p w:rsidR="009016F0" w:rsidRDefault="005F3508">
      <w:pPr>
        <w:pStyle w:val="Heading2"/>
        <w:numPr>
          <w:ilvl w:val="0"/>
          <w:numId w:val="3"/>
        </w:numPr>
        <w:tabs>
          <w:tab w:val="left" w:pos="840"/>
        </w:tabs>
        <w:jc w:val="both"/>
      </w:pPr>
      <w:r>
        <w:t>SUCCESSORS IN</w:t>
      </w:r>
      <w:r>
        <w:rPr>
          <w:spacing w:val="-3"/>
        </w:rPr>
        <w:t xml:space="preserve"> </w:t>
      </w:r>
      <w:r>
        <w:t>TITLE</w:t>
      </w:r>
    </w:p>
    <w:p w:rsidR="009016F0" w:rsidRDefault="009016F0">
      <w:pPr>
        <w:pStyle w:val="BodyText"/>
        <w:spacing w:before="7"/>
        <w:rPr>
          <w:b/>
          <w:sz w:val="21"/>
        </w:rPr>
      </w:pPr>
    </w:p>
    <w:p w:rsidR="009016F0" w:rsidRDefault="005F3508">
      <w:pPr>
        <w:pStyle w:val="BodyText"/>
        <w:ind w:left="119"/>
        <w:jc w:val="both"/>
      </w:pPr>
      <w:r>
        <w:t xml:space="preserve">All successors in title to the </w:t>
      </w:r>
      <w:r w:rsidR="00147933">
        <w:t>Property</w:t>
      </w:r>
      <w:r>
        <w:t xml:space="preserve">, or any portion of the </w:t>
      </w:r>
      <w:r w:rsidR="00147933">
        <w:t>Property</w:t>
      </w:r>
      <w:r>
        <w:t>, shall be bound to the conditions of this PUD.</w:t>
      </w:r>
    </w:p>
    <w:p w:rsidR="009016F0" w:rsidRDefault="009016F0">
      <w:pPr>
        <w:pStyle w:val="BodyText"/>
      </w:pPr>
    </w:p>
    <w:p w:rsidR="009016F0" w:rsidRDefault="009016F0">
      <w:pPr>
        <w:pStyle w:val="BodyText"/>
        <w:spacing w:before="4"/>
      </w:pPr>
    </w:p>
    <w:p w:rsidR="009016F0" w:rsidRDefault="005F3508">
      <w:pPr>
        <w:pStyle w:val="Heading2"/>
        <w:numPr>
          <w:ilvl w:val="0"/>
          <w:numId w:val="3"/>
        </w:numPr>
        <w:tabs>
          <w:tab w:val="left" w:pos="840"/>
        </w:tabs>
        <w:jc w:val="both"/>
      </w:pPr>
      <w:r>
        <w:t>INTENSITY OF</w:t>
      </w:r>
      <w:r>
        <w:rPr>
          <w:spacing w:val="1"/>
        </w:rPr>
        <w:t xml:space="preserve"> </w:t>
      </w:r>
      <w:r>
        <w:t>DEVELOPMENT</w:t>
      </w:r>
    </w:p>
    <w:p w:rsidR="009016F0" w:rsidRDefault="009016F0">
      <w:pPr>
        <w:pStyle w:val="BodyText"/>
        <w:spacing w:before="7"/>
        <w:rPr>
          <w:b/>
          <w:sz w:val="21"/>
        </w:rPr>
      </w:pPr>
    </w:p>
    <w:p w:rsidR="009016F0" w:rsidRDefault="005F3508" w:rsidP="001D6E73">
      <w:pPr>
        <w:pStyle w:val="ListParagraph"/>
      </w:pPr>
      <w:r>
        <w:t>Proposed</w:t>
      </w:r>
      <w:r>
        <w:rPr>
          <w:spacing w:val="-1"/>
        </w:rPr>
        <w:t xml:space="preserve"> </w:t>
      </w:r>
      <w:r>
        <w:t>Use</w:t>
      </w:r>
    </w:p>
    <w:p w:rsidR="009016F0" w:rsidRDefault="009016F0">
      <w:pPr>
        <w:pStyle w:val="BodyText"/>
        <w:spacing w:before="6"/>
        <w:rPr>
          <w:sz w:val="16"/>
        </w:rPr>
      </w:pPr>
    </w:p>
    <w:p w:rsidR="009016F0" w:rsidRDefault="005F3508">
      <w:pPr>
        <w:pStyle w:val="BodyText"/>
        <w:spacing w:before="63"/>
        <w:ind w:left="119"/>
      </w:pPr>
      <w:r>
        <w:t>The proposed PUD is an industrial development to accommodate a Solar Farm as depicted on the conceptual site plan.</w:t>
      </w:r>
    </w:p>
    <w:p w:rsidR="009016F0" w:rsidRDefault="009016F0">
      <w:pPr>
        <w:pStyle w:val="BodyText"/>
        <w:spacing w:before="11"/>
        <w:rPr>
          <w:sz w:val="21"/>
        </w:rPr>
      </w:pPr>
    </w:p>
    <w:p w:rsidR="009016F0" w:rsidRDefault="005F3508" w:rsidP="001D6E73">
      <w:pPr>
        <w:pStyle w:val="ListParagraph"/>
      </w:pPr>
      <w:r>
        <w:t>Availability of Utility</w:t>
      </w:r>
      <w:r>
        <w:rPr>
          <w:spacing w:val="-6"/>
        </w:rPr>
        <w:t xml:space="preserve"> </w:t>
      </w:r>
      <w:r>
        <w:t>Services</w:t>
      </w:r>
    </w:p>
    <w:p w:rsidR="009016F0" w:rsidRDefault="009016F0">
      <w:pPr>
        <w:pStyle w:val="BodyText"/>
        <w:spacing w:before="7"/>
        <w:rPr>
          <w:sz w:val="16"/>
        </w:rPr>
      </w:pPr>
    </w:p>
    <w:p w:rsidR="009016F0" w:rsidRDefault="005F3508">
      <w:pPr>
        <w:pStyle w:val="BodyText"/>
        <w:spacing w:before="62"/>
        <w:ind w:left="119"/>
      </w:pPr>
      <w:r>
        <w:t>All utilities are available for the proposed PUD.</w:t>
      </w:r>
    </w:p>
    <w:p w:rsidR="009016F0" w:rsidRDefault="009016F0">
      <w:pPr>
        <w:pStyle w:val="BodyText"/>
        <w:spacing w:before="10"/>
        <w:rPr>
          <w:sz w:val="21"/>
        </w:rPr>
      </w:pPr>
    </w:p>
    <w:p w:rsidR="009016F0" w:rsidRDefault="005F3508" w:rsidP="001D6E73">
      <w:pPr>
        <w:pStyle w:val="ListParagraph"/>
      </w:pPr>
      <w:r>
        <w:t>Access to and Suitability of Transportation</w:t>
      </w:r>
      <w:r>
        <w:rPr>
          <w:spacing w:val="-11"/>
        </w:rPr>
        <w:t xml:space="preserve"> </w:t>
      </w:r>
      <w:r>
        <w:t>Arteries</w:t>
      </w:r>
    </w:p>
    <w:p w:rsidR="009016F0" w:rsidRDefault="009016F0">
      <w:pPr>
        <w:pStyle w:val="BodyText"/>
        <w:spacing w:before="7"/>
        <w:rPr>
          <w:sz w:val="16"/>
        </w:rPr>
      </w:pPr>
    </w:p>
    <w:p w:rsidR="009016F0" w:rsidRDefault="005F3508" w:rsidP="00D32EE1">
      <w:pPr>
        <w:pStyle w:val="BodyText"/>
        <w:spacing w:before="62"/>
        <w:ind w:left="119"/>
        <w:jc w:val="both"/>
      </w:pPr>
      <w:r>
        <w:t>The proposed PUD is located in the vicinity of Lem Turner Road and I-295 at the western end of Newcomb Road. The proposed Solar Farm is projected to have a minimal traffic impact on the surrounding roadway network.</w:t>
      </w:r>
    </w:p>
    <w:p w:rsidR="009016F0" w:rsidRDefault="009016F0">
      <w:pPr>
        <w:pStyle w:val="BodyText"/>
      </w:pPr>
    </w:p>
    <w:p w:rsidR="009016F0" w:rsidRDefault="009016F0">
      <w:pPr>
        <w:pStyle w:val="BodyText"/>
        <w:spacing w:before="6"/>
      </w:pPr>
    </w:p>
    <w:p w:rsidR="009016F0" w:rsidRDefault="005F3508">
      <w:pPr>
        <w:pStyle w:val="Heading2"/>
        <w:ind w:left="119" w:firstLine="0"/>
      </w:pPr>
      <w:r>
        <w:t>JUSTIFICATION FOR PLANNED UNIT DEVELOPMENT CLASSIFICATION FOR THIS PROJECT</w:t>
      </w:r>
    </w:p>
    <w:p w:rsidR="009016F0" w:rsidRDefault="009016F0">
      <w:pPr>
        <w:pStyle w:val="BodyText"/>
        <w:spacing w:before="7"/>
        <w:rPr>
          <w:b/>
          <w:sz w:val="21"/>
        </w:rPr>
      </w:pPr>
    </w:p>
    <w:p w:rsidR="009016F0" w:rsidRDefault="005F3508">
      <w:pPr>
        <w:pStyle w:val="BodyText"/>
        <w:tabs>
          <w:tab w:val="left" w:pos="839"/>
        </w:tabs>
        <w:spacing w:line="252" w:lineRule="exact"/>
        <w:ind w:left="119"/>
      </w:pPr>
      <w:r>
        <w:t>1.</w:t>
      </w:r>
      <w:r>
        <w:tab/>
        <w:t>The PUD conforms to the Goals, Objectives and Policies of the 2030 Comprehensive</w:t>
      </w:r>
      <w:r>
        <w:rPr>
          <w:spacing w:val="-12"/>
        </w:rPr>
        <w:t xml:space="preserve"> </w:t>
      </w:r>
      <w:r>
        <w:t>Plan.</w:t>
      </w:r>
    </w:p>
    <w:p w:rsidR="00D32EE1" w:rsidRDefault="00D32EE1">
      <w:pPr>
        <w:pStyle w:val="BodyText"/>
        <w:tabs>
          <w:tab w:val="left" w:pos="839"/>
        </w:tabs>
        <w:spacing w:line="252" w:lineRule="exact"/>
        <w:ind w:left="119"/>
      </w:pPr>
    </w:p>
    <w:p w:rsidR="009016F0" w:rsidRDefault="005F3508" w:rsidP="00D32EE1">
      <w:pPr>
        <w:pStyle w:val="ListParagraph"/>
        <w:ind w:hanging="120"/>
        <w:jc w:val="both"/>
      </w:pPr>
      <w:r>
        <w:t>The PUD allows for an efficient use of land in an industrial-sized photovoltaic generation system and is substantially buffered from all incompatible</w:t>
      </w:r>
      <w:r>
        <w:rPr>
          <w:spacing w:val="-12"/>
        </w:rPr>
        <w:t xml:space="preserve"> </w:t>
      </w:r>
      <w:r>
        <w:t>uses.</w:t>
      </w:r>
      <w:r w:rsidR="00D32EE1">
        <w:t xml:space="preserve"> </w:t>
      </w:r>
      <w:r>
        <w:t>Provides for public benefit and purpose through development of a photovoltaic generation system for the production of electricity for local utility</w:t>
      </w:r>
      <w:r w:rsidRPr="00D32EE1">
        <w:rPr>
          <w:spacing w:val="-7"/>
        </w:rPr>
        <w:t xml:space="preserve"> </w:t>
      </w:r>
      <w:r>
        <w:t>providers.</w:t>
      </w:r>
    </w:p>
    <w:sectPr w:rsidR="009016F0" w:rsidSect="009016F0">
      <w:pgSz w:w="12240" w:h="15840"/>
      <w:pgMar w:top="1400" w:right="600" w:bottom="860" w:left="1320" w:header="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CB" w:rsidRDefault="00EC32CB" w:rsidP="009016F0">
      <w:r>
        <w:separator/>
      </w:r>
    </w:p>
  </w:endnote>
  <w:endnote w:type="continuationSeparator" w:id="0">
    <w:p w:rsidR="00EC32CB" w:rsidRDefault="00EC32CB" w:rsidP="0090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f5acaf70-9021-4089-89e0-784f"/>
  <w:p w:rsidR="006C194D" w:rsidRDefault="006C194D">
    <w:pPr>
      <w:pStyle w:val="DocID"/>
    </w:pPr>
    <w:r>
      <w:fldChar w:fldCharType="begin"/>
    </w:r>
    <w:r>
      <w:instrText xml:space="preserve">  DOCPROPERTY "CUS_DocIDChunk0" </w:instrText>
    </w:r>
    <w:r>
      <w:fldChar w:fldCharType="separate"/>
    </w:r>
    <w:r w:rsidR="001D532D">
      <w:t>46030599;6</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94D" w:rsidRPr="00201E5B" w:rsidRDefault="006C194D" w:rsidP="00201E5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e1fd5fb1-0350-4325-92cf-7426"/>
  <w:p w:rsidR="006C194D" w:rsidRDefault="006C194D">
    <w:pPr>
      <w:pStyle w:val="DocID"/>
    </w:pPr>
    <w:r>
      <w:fldChar w:fldCharType="begin"/>
    </w:r>
    <w:r>
      <w:instrText xml:space="preserve">  DOCPROPERTY "CUS_DocIDChunk0" </w:instrText>
    </w:r>
    <w:r>
      <w:fldChar w:fldCharType="separate"/>
    </w:r>
    <w:r w:rsidR="001D532D">
      <w:t>46030599;6</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CB" w:rsidRDefault="00EC32CB" w:rsidP="009016F0">
      <w:r>
        <w:separator/>
      </w:r>
    </w:p>
  </w:footnote>
  <w:footnote w:type="continuationSeparator" w:id="0">
    <w:p w:rsidR="00EC32CB" w:rsidRDefault="00EC32CB" w:rsidP="0090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505E"/>
    <w:multiLevelType w:val="hybridMultilevel"/>
    <w:tmpl w:val="D890C87C"/>
    <w:lvl w:ilvl="0" w:tplc="F2AC6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827D3"/>
    <w:multiLevelType w:val="hybridMultilevel"/>
    <w:tmpl w:val="046E336C"/>
    <w:lvl w:ilvl="0" w:tplc="0A36F5A2">
      <w:start w:val="1"/>
      <w:numFmt w:val="decimal"/>
      <w:lvlText w:val="(%1)"/>
      <w:lvlJc w:val="left"/>
      <w:pPr>
        <w:ind w:left="2160" w:hanging="72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CD7B3C"/>
    <w:multiLevelType w:val="hybridMultilevel"/>
    <w:tmpl w:val="DF06AC1E"/>
    <w:lvl w:ilvl="0" w:tplc="82903EC6">
      <w:start w:val="1"/>
      <w:numFmt w:val="upperRoman"/>
      <w:lvlText w:val="%1."/>
      <w:lvlJc w:val="left"/>
      <w:pPr>
        <w:ind w:left="840" w:hanging="720"/>
      </w:pPr>
      <w:rPr>
        <w:rFonts w:ascii="Times New Roman" w:eastAsia="Times New Roman" w:hAnsi="Times New Roman" w:cs="Times New Roman" w:hint="default"/>
        <w:b/>
        <w:bCs/>
        <w:w w:val="100"/>
        <w:sz w:val="22"/>
        <w:szCs w:val="22"/>
      </w:rPr>
    </w:lvl>
    <w:lvl w:ilvl="1" w:tplc="ADC046BA">
      <w:numFmt w:val="bullet"/>
      <w:lvlText w:val="•"/>
      <w:lvlJc w:val="left"/>
      <w:pPr>
        <w:ind w:left="1788" w:hanging="720"/>
      </w:pPr>
      <w:rPr>
        <w:rFonts w:hint="default"/>
      </w:rPr>
    </w:lvl>
    <w:lvl w:ilvl="2" w:tplc="D1D68AE6">
      <w:numFmt w:val="bullet"/>
      <w:lvlText w:val="•"/>
      <w:lvlJc w:val="left"/>
      <w:pPr>
        <w:ind w:left="2736" w:hanging="720"/>
      </w:pPr>
      <w:rPr>
        <w:rFonts w:hint="default"/>
      </w:rPr>
    </w:lvl>
    <w:lvl w:ilvl="3" w:tplc="FD3479D0">
      <w:numFmt w:val="bullet"/>
      <w:lvlText w:val="•"/>
      <w:lvlJc w:val="left"/>
      <w:pPr>
        <w:ind w:left="3684" w:hanging="720"/>
      </w:pPr>
      <w:rPr>
        <w:rFonts w:hint="default"/>
      </w:rPr>
    </w:lvl>
    <w:lvl w:ilvl="4" w:tplc="A91E563C">
      <w:numFmt w:val="bullet"/>
      <w:lvlText w:val="•"/>
      <w:lvlJc w:val="left"/>
      <w:pPr>
        <w:ind w:left="4632" w:hanging="720"/>
      </w:pPr>
      <w:rPr>
        <w:rFonts w:hint="default"/>
      </w:rPr>
    </w:lvl>
    <w:lvl w:ilvl="5" w:tplc="C688CB52">
      <w:numFmt w:val="bullet"/>
      <w:lvlText w:val="•"/>
      <w:lvlJc w:val="left"/>
      <w:pPr>
        <w:ind w:left="5580" w:hanging="720"/>
      </w:pPr>
      <w:rPr>
        <w:rFonts w:hint="default"/>
      </w:rPr>
    </w:lvl>
    <w:lvl w:ilvl="6" w:tplc="9222881A">
      <w:numFmt w:val="bullet"/>
      <w:lvlText w:val="•"/>
      <w:lvlJc w:val="left"/>
      <w:pPr>
        <w:ind w:left="6528" w:hanging="720"/>
      </w:pPr>
      <w:rPr>
        <w:rFonts w:hint="default"/>
      </w:rPr>
    </w:lvl>
    <w:lvl w:ilvl="7" w:tplc="AE929410">
      <w:numFmt w:val="bullet"/>
      <w:lvlText w:val="•"/>
      <w:lvlJc w:val="left"/>
      <w:pPr>
        <w:ind w:left="7476" w:hanging="720"/>
      </w:pPr>
      <w:rPr>
        <w:rFonts w:hint="default"/>
      </w:rPr>
    </w:lvl>
    <w:lvl w:ilvl="8" w:tplc="BCD4856C">
      <w:numFmt w:val="bullet"/>
      <w:lvlText w:val="•"/>
      <w:lvlJc w:val="left"/>
      <w:pPr>
        <w:ind w:left="8424" w:hanging="720"/>
      </w:pPr>
      <w:rPr>
        <w:rFonts w:hint="default"/>
      </w:rPr>
    </w:lvl>
  </w:abstractNum>
  <w:abstractNum w:abstractNumId="3" w15:restartNumberingAfterBreak="0">
    <w:nsid w:val="3AF17157"/>
    <w:multiLevelType w:val="hybridMultilevel"/>
    <w:tmpl w:val="D004D078"/>
    <w:lvl w:ilvl="0" w:tplc="1DB863C6">
      <w:start w:val="3"/>
      <w:numFmt w:val="decimal"/>
      <w:lvlText w:val="%1."/>
      <w:lvlJc w:val="left"/>
      <w:pPr>
        <w:ind w:left="840" w:hanging="720"/>
      </w:pPr>
      <w:rPr>
        <w:rFonts w:ascii="Times New Roman" w:eastAsia="Times New Roman" w:hAnsi="Times New Roman" w:cs="Times New Roman" w:hint="default"/>
        <w:w w:val="100"/>
        <w:sz w:val="22"/>
        <w:szCs w:val="22"/>
      </w:rPr>
    </w:lvl>
    <w:lvl w:ilvl="1" w:tplc="19507D84">
      <w:numFmt w:val="bullet"/>
      <w:lvlText w:val="•"/>
      <w:lvlJc w:val="left"/>
      <w:pPr>
        <w:ind w:left="1788" w:hanging="720"/>
      </w:pPr>
      <w:rPr>
        <w:rFonts w:hint="default"/>
      </w:rPr>
    </w:lvl>
    <w:lvl w:ilvl="2" w:tplc="A44800B2">
      <w:numFmt w:val="bullet"/>
      <w:lvlText w:val="•"/>
      <w:lvlJc w:val="left"/>
      <w:pPr>
        <w:ind w:left="2736" w:hanging="720"/>
      </w:pPr>
      <w:rPr>
        <w:rFonts w:hint="default"/>
      </w:rPr>
    </w:lvl>
    <w:lvl w:ilvl="3" w:tplc="F00C9248">
      <w:numFmt w:val="bullet"/>
      <w:lvlText w:val="•"/>
      <w:lvlJc w:val="left"/>
      <w:pPr>
        <w:ind w:left="3684" w:hanging="720"/>
      </w:pPr>
      <w:rPr>
        <w:rFonts w:hint="default"/>
      </w:rPr>
    </w:lvl>
    <w:lvl w:ilvl="4" w:tplc="3B60401E">
      <w:numFmt w:val="bullet"/>
      <w:lvlText w:val="•"/>
      <w:lvlJc w:val="left"/>
      <w:pPr>
        <w:ind w:left="4632" w:hanging="720"/>
      </w:pPr>
      <w:rPr>
        <w:rFonts w:hint="default"/>
      </w:rPr>
    </w:lvl>
    <w:lvl w:ilvl="5" w:tplc="430C7E44">
      <w:numFmt w:val="bullet"/>
      <w:lvlText w:val="•"/>
      <w:lvlJc w:val="left"/>
      <w:pPr>
        <w:ind w:left="5580" w:hanging="720"/>
      </w:pPr>
      <w:rPr>
        <w:rFonts w:hint="default"/>
      </w:rPr>
    </w:lvl>
    <w:lvl w:ilvl="6" w:tplc="6D5E4E76">
      <w:numFmt w:val="bullet"/>
      <w:lvlText w:val="•"/>
      <w:lvlJc w:val="left"/>
      <w:pPr>
        <w:ind w:left="6528" w:hanging="720"/>
      </w:pPr>
      <w:rPr>
        <w:rFonts w:hint="default"/>
      </w:rPr>
    </w:lvl>
    <w:lvl w:ilvl="7" w:tplc="90F2094A">
      <w:numFmt w:val="bullet"/>
      <w:lvlText w:val="•"/>
      <w:lvlJc w:val="left"/>
      <w:pPr>
        <w:ind w:left="7476" w:hanging="720"/>
      </w:pPr>
      <w:rPr>
        <w:rFonts w:hint="default"/>
      </w:rPr>
    </w:lvl>
    <w:lvl w:ilvl="8" w:tplc="D408C674">
      <w:numFmt w:val="bullet"/>
      <w:lvlText w:val="•"/>
      <w:lvlJc w:val="left"/>
      <w:pPr>
        <w:ind w:left="8424" w:hanging="720"/>
      </w:pPr>
      <w:rPr>
        <w:rFonts w:hint="default"/>
      </w:rPr>
    </w:lvl>
  </w:abstractNum>
  <w:abstractNum w:abstractNumId="4" w15:restartNumberingAfterBreak="0">
    <w:nsid w:val="6A614632"/>
    <w:multiLevelType w:val="hybridMultilevel"/>
    <w:tmpl w:val="792E7BB8"/>
    <w:lvl w:ilvl="0" w:tplc="E60E5522">
      <w:start w:val="1"/>
      <w:numFmt w:val="upperLetter"/>
      <w:lvlText w:val="%1."/>
      <w:lvlJc w:val="left"/>
      <w:pPr>
        <w:ind w:left="840" w:hanging="720"/>
      </w:pPr>
      <w:rPr>
        <w:rFonts w:ascii="Times New Roman" w:eastAsia="Times New Roman" w:hAnsi="Times New Roman" w:cs="Times New Roman" w:hint="default"/>
        <w:b/>
        <w:bCs/>
        <w:spacing w:val="-2"/>
        <w:w w:val="100"/>
        <w:sz w:val="22"/>
        <w:szCs w:val="22"/>
      </w:rPr>
    </w:lvl>
    <w:lvl w:ilvl="1" w:tplc="67F6B8DA">
      <w:start w:val="1"/>
      <w:numFmt w:val="decimal"/>
      <w:lvlText w:val="%2."/>
      <w:lvlJc w:val="left"/>
      <w:pPr>
        <w:ind w:left="840" w:hanging="720"/>
      </w:pPr>
      <w:rPr>
        <w:rFonts w:ascii="Times New Roman" w:eastAsia="Times New Roman" w:hAnsi="Times New Roman" w:cs="Times New Roman" w:hint="default"/>
        <w:w w:val="100"/>
        <w:sz w:val="22"/>
        <w:szCs w:val="22"/>
      </w:rPr>
    </w:lvl>
    <w:lvl w:ilvl="2" w:tplc="39D2887E">
      <w:start w:val="1"/>
      <w:numFmt w:val="lowerLetter"/>
      <w:lvlText w:val="(%3)"/>
      <w:lvlJc w:val="left"/>
      <w:pPr>
        <w:ind w:left="840" w:hanging="303"/>
      </w:pPr>
      <w:rPr>
        <w:rFonts w:ascii="Times New Roman" w:eastAsia="Times New Roman" w:hAnsi="Times New Roman" w:cs="Times New Roman" w:hint="default"/>
        <w:w w:val="100"/>
        <w:sz w:val="22"/>
        <w:szCs w:val="22"/>
      </w:rPr>
    </w:lvl>
    <w:lvl w:ilvl="3" w:tplc="B3FA2BE8">
      <w:numFmt w:val="bullet"/>
      <w:lvlText w:val="•"/>
      <w:lvlJc w:val="left"/>
      <w:pPr>
        <w:ind w:left="3684" w:hanging="303"/>
      </w:pPr>
      <w:rPr>
        <w:rFonts w:hint="default"/>
      </w:rPr>
    </w:lvl>
    <w:lvl w:ilvl="4" w:tplc="ACA24344">
      <w:numFmt w:val="bullet"/>
      <w:lvlText w:val="•"/>
      <w:lvlJc w:val="left"/>
      <w:pPr>
        <w:ind w:left="4632" w:hanging="303"/>
      </w:pPr>
      <w:rPr>
        <w:rFonts w:hint="default"/>
      </w:rPr>
    </w:lvl>
    <w:lvl w:ilvl="5" w:tplc="FE222428">
      <w:numFmt w:val="bullet"/>
      <w:lvlText w:val="•"/>
      <w:lvlJc w:val="left"/>
      <w:pPr>
        <w:ind w:left="5580" w:hanging="303"/>
      </w:pPr>
      <w:rPr>
        <w:rFonts w:hint="default"/>
      </w:rPr>
    </w:lvl>
    <w:lvl w:ilvl="6" w:tplc="98020728">
      <w:numFmt w:val="bullet"/>
      <w:lvlText w:val="•"/>
      <w:lvlJc w:val="left"/>
      <w:pPr>
        <w:ind w:left="6528" w:hanging="303"/>
      </w:pPr>
      <w:rPr>
        <w:rFonts w:hint="default"/>
      </w:rPr>
    </w:lvl>
    <w:lvl w:ilvl="7" w:tplc="FBB88A9C">
      <w:numFmt w:val="bullet"/>
      <w:lvlText w:val="•"/>
      <w:lvlJc w:val="left"/>
      <w:pPr>
        <w:ind w:left="7476" w:hanging="303"/>
      </w:pPr>
      <w:rPr>
        <w:rFonts w:hint="default"/>
      </w:rPr>
    </w:lvl>
    <w:lvl w:ilvl="8" w:tplc="26C0E8D2">
      <w:numFmt w:val="bullet"/>
      <w:lvlText w:val="•"/>
      <w:lvlJc w:val="left"/>
      <w:pPr>
        <w:ind w:left="8424" w:hanging="303"/>
      </w:pPr>
      <w:rPr>
        <w:rFonts w:hint="default"/>
      </w:rPr>
    </w:lvl>
  </w:abstractNum>
  <w:abstractNum w:abstractNumId="5" w15:restartNumberingAfterBreak="0">
    <w:nsid w:val="6ADE1C5B"/>
    <w:multiLevelType w:val="hybridMultilevel"/>
    <w:tmpl w:val="0B922540"/>
    <w:lvl w:ilvl="0" w:tplc="927043F6">
      <w:start w:val="1"/>
      <w:numFmt w:val="decimal"/>
      <w:lvlText w:val="(%1)"/>
      <w:lvlJc w:val="left"/>
      <w:pPr>
        <w:ind w:left="1560" w:hanging="720"/>
      </w:pPr>
      <w:rPr>
        <w:rFonts w:ascii="Times New Roman" w:eastAsia="Times New Roman" w:hAnsi="Times New Roman" w:cs="Times New Roman" w:hint="default"/>
        <w:w w:val="100"/>
        <w:sz w:val="22"/>
        <w:szCs w:val="22"/>
      </w:rPr>
    </w:lvl>
    <w:lvl w:ilvl="1" w:tplc="9BE297F4">
      <w:numFmt w:val="bullet"/>
      <w:lvlText w:val="•"/>
      <w:lvlJc w:val="left"/>
      <w:pPr>
        <w:ind w:left="2436" w:hanging="720"/>
      </w:pPr>
      <w:rPr>
        <w:rFonts w:hint="default"/>
      </w:rPr>
    </w:lvl>
    <w:lvl w:ilvl="2" w:tplc="1542F238">
      <w:numFmt w:val="bullet"/>
      <w:lvlText w:val="•"/>
      <w:lvlJc w:val="left"/>
      <w:pPr>
        <w:ind w:left="3312" w:hanging="720"/>
      </w:pPr>
      <w:rPr>
        <w:rFonts w:hint="default"/>
      </w:rPr>
    </w:lvl>
    <w:lvl w:ilvl="3" w:tplc="FBC8BBFC">
      <w:numFmt w:val="bullet"/>
      <w:lvlText w:val="•"/>
      <w:lvlJc w:val="left"/>
      <w:pPr>
        <w:ind w:left="4188" w:hanging="720"/>
      </w:pPr>
      <w:rPr>
        <w:rFonts w:hint="default"/>
      </w:rPr>
    </w:lvl>
    <w:lvl w:ilvl="4" w:tplc="5532DD82">
      <w:numFmt w:val="bullet"/>
      <w:lvlText w:val="•"/>
      <w:lvlJc w:val="left"/>
      <w:pPr>
        <w:ind w:left="5064" w:hanging="720"/>
      </w:pPr>
      <w:rPr>
        <w:rFonts w:hint="default"/>
      </w:rPr>
    </w:lvl>
    <w:lvl w:ilvl="5" w:tplc="6E122044">
      <w:numFmt w:val="bullet"/>
      <w:lvlText w:val="•"/>
      <w:lvlJc w:val="left"/>
      <w:pPr>
        <w:ind w:left="5940" w:hanging="720"/>
      </w:pPr>
      <w:rPr>
        <w:rFonts w:hint="default"/>
      </w:rPr>
    </w:lvl>
    <w:lvl w:ilvl="6" w:tplc="419681BE">
      <w:numFmt w:val="bullet"/>
      <w:lvlText w:val="•"/>
      <w:lvlJc w:val="left"/>
      <w:pPr>
        <w:ind w:left="6816" w:hanging="720"/>
      </w:pPr>
      <w:rPr>
        <w:rFonts w:hint="default"/>
      </w:rPr>
    </w:lvl>
    <w:lvl w:ilvl="7" w:tplc="F982A3A2">
      <w:numFmt w:val="bullet"/>
      <w:lvlText w:val="•"/>
      <w:lvlJc w:val="left"/>
      <w:pPr>
        <w:ind w:left="7692" w:hanging="720"/>
      </w:pPr>
      <w:rPr>
        <w:rFonts w:hint="default"/>
      </w:rPr>
    </w:lvl>
    <w:lvl w:ilvl="8" w:tplc="14821804">
      <w:numFmt w:val="bullet"/>
      <w:lvlText w:val="•"/>
      <w:lvlJc w:val="left"/>
      <w:pPr>
        <w:ind w:left="8568" w:hanging="720"/>
      </w:pPr>
      <w:rPr>
        <w:rFonts w:hint="default"/>
      </w:rPr>
    </w:lvl>
  </w:abstractNum>
  <w:abstractNum w:abstractNumId="6" w15:restartNumberingAfterBreak="0">
    <w:nsid w:val="70D60460"/>
    <w:multiLevelType w:val="hybridMultilevel"/>
    <w:tmpl w:val="99D05E2C"/>
    <w:lvl w:ilvl="0" w:tplc="F2AC62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F0"/>
    <w:rsid w:val="000075D0"/>
    <w:rsid w:val="00013F62"/>
    <w:rsid w:val="000A1973"/>
    <w:rsid w:val="00147933"/>
    <w:rsid w:val="001623E2"/>
    <w:rsid w:val="001D532D"/>
    <w:rsid w:val="001D686B"/>
    <w:rsid w:val="001D6B27"/>
    <w:rsid w:val="001D6E73"/>
    <w:rsid w:val="00211980"/>
    <w:rsid w:val="00316830"/>
    <w:rsid w:val="00335234"/>
    <w:rsid w:val="00512C6B"/>
    <w:rsid w:val="00556FDB"/>
    <w:rsid w:val="005F3508"/>
    <w:rsid w:val="0067092E"/>
    <w:rsid w:val="006C194D"/>
    <w:rsid w:val="00776570"/>
    <w:rsid w:val="0082511B"/>
    <w:rsid w:val="008C0291"/>
    <w:rsid w:val="009016F0"/>
    <w:rsid w:val="00AE2870"/>
    <w:rsid w:val="00B93EB6"/>
    <w:rsid w:val="00C02A5B"/>
    <w:rsid w:val="00C50399"/>
    <w:rsid w:val="00C63EC0"/>
    <w:rsid w:val="00C75377"/>
    <w:rsid w:val="00CA343A"/>
    <w:rsid w:val="00D32EE1"/>
    <w:rsid w:val="00D71084"/>
    <w:rsid w:val="00D80747"/>
    <w:rsid w:val="00D85F11"/>
    <w:rsid w:val="00E37009"/>
    <w:rsid w:val="00E72084"/>
    <w:rsid w:val="00EC2663"/>
    <w:rsid w:val="00EC32CB"/>
    <w:rsid w:val="00F27C0E"/>
    <w:rsid w:val="00F51847"/>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EF1BEF3-2F4F-4C16-899C-4B09518B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16F0"/>
    <w:pPr>
      <w:widowControl/>
    </w:pPr>
    <w:rPr>
      <w:rFonts w:ascii="Times New Roman" w:eastAsia="Times New Roman" w:hAnsi="Times New Roman" w:cs="Times New Roman"/>
    </w:rPr>
  </w:style>
  <w:style w:type="paragraph" w:styleId="Heading1">
    <w:name w:val="heading 1"/>
    <w:basedOn w:val="Normal"/>
    <w:link w:val="Heading1Char"/>
    <w:uiPriority w:val="1"/>
    <w:qFormat/>
    <w:rsid w:val="009016F0"/>
    <w:pPr>
      <w:ind w:left="3180" w:right="3180"/>
      <w:jc w:val="center"/>
      <w:outlineLvl w:val="0"/>
    </w:pPr>
    <w:rPr>
      <w:b/>
      <w:bCs/>
      <w:sz w:val="36"/>
      <w:szCs w:val="36"/>
      <w:u w:val="single" w:color="000000"/>
    </w:rPr>
  </w:style>
  <w:style w:type="paragraph" w:styleId="Heading2">
    <w:name w:val="heading 2"/>
    <w:basedOn w:val="Normal"/>
    <w:uiPriority w:val="1"/>
    <w:qFormat/>
    <w:rsid w:val="009016F0"/>
    <w:pPr>
      <w:ind w:left="8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16F0"/>
  </w:style>
  <w:style w:type="paragraph" w:styleId="ListParagraph">
    <w:name w:val="List Paragraph"/>
    <w:basedOn w:val="Normal"/>
    <w:uiPriority w:val="34"/>
    <w:qFormat/>
    <w:rsid w:val="009016F0"/>
    <w:pPr>
      <w:ind w:left="840" w:hanging="720"/>
    </w:pPr>
  </w:style>
  <w:style w:type="paragraph" w:customStyle="1" w:styleId="TableParagraph">
    <w:name w:val="Table Paragraph"/>
    <w:basedOn w:val="Normal"/>
    <w:uiPriority w:val="1"/>
    <w:qFormat/>
    <w:rsid w:val="009016F0"/>
  </w:style>
  <w:style w:type="paragraph" w:styleId="Header">
    <w:name w:val="header"/>
    <w:basedOn w:val="Normal"/>
    <w:link w:val="HeaderChar"/>
    <w:uiPriority w:val="99"/>
    <w:semiHidden/>
    <w:unhideWhenUsed/>
    <w:rsid w:val="0082511B"/>
    <w:pPr>
      <w:tabs>
        <w:tab w:val="center" w:pos="4680"/>
        <w:tab w:val="right" w:pos="9360"/>
      </w:tabs>
    </w:pPr>
  </w:style>
  <w:style w:type="character" w:customStyle="1" w:styleId="HeaderChar">
    <w:name w:val="Header Char"/>
    <w:basedOn w:val="DefaultParagraphFont"/>
    <w:link w:val="Header"/>
    <w:uiPriority w:val="99"/>
    <w:semiHidden/>
    <w:rsid w:val="0082511B"/>
    <w:rPr>
      <w:rFonts w:ascii="Times New Roman" w:eastAsia="Times New Roman" w:hAnsi="Times New Roman" w:cs="Times New Roman"/>
    </w:rPr>
  </w:style>
  <w:style w:type="paragraph" w:styleId="Footer">
    <w:name w:val="footer"/>
    <w:basedOn w:val="Normal"/>
    <w:link w:val="FooterChar"/>
    <w:uiPriority w:val="99"/>
    <w:semiHidden/>
    <w:unhideWhenUsed/>
    <w:rsid w:val="0082511B"/>
    <w:pPr>
      <w:tabs>
        <w:tab w:val="center" w:pos="4680"/>
        <w:tab w:val="right" w:pos="9360"/>
      </w:tabs>
    </w:pPr>
  </w:style>
  <w:style w:type="character" w:customStyle="1" w:styleId="FooterChar">
    <w:name w:val="Footer Char"/>
    <w:basedOn w:val="DefaultParagraphFont"/>
    <w:link w:val="Footer"/>
    <w:uiPriority w:val="99"/>
    <w:semiHidden/>
    <w:rsid w:val="0082511B"/>
    <w:rPr>
      <w:rFonts w:ascii="Times New Roman" w:eastAsia="Times New Roman" w:hAnsi="Times New Roman" w:cs="Times New Roman"/>
    </w:rPr>
  </w:style>
  <w:style w:type="paragraph" w:customStyle="1" w:styleId="DocID">
    <w:name w:val="DocID"/>
    <w:basedOn w:val="Footer"/>
    <w:next w:val="Footer"/>
    <w:link w:val="DocIDChar"/>
    <w:rsid w:val="006C194D"/>
    <w:pPr>
      <w:tabs>
        <w:tab w:val="clear" w:pos="4680"/>
        <w:tab w:val="clear" w:pos="9360"/>
      </w:tabs>
    </w:pPr>
    <w:rPr>
      <w:sz w:val="16"/>
      <w:szCs w:val="20"/>
    </w:rPr>
  </w:style>
  <w:style w:type="character" w:customStyle="1" w:styleId="Heading1Char">
    <w:name w:val="Heading 1 Char"/>
    <w:basedOn w:val="DefaultParagraphFont"/>
    <w:link w:val="Heading1"/>
    <w:uiPriority w:val="1"/>
    <w:rsid w:val="00C50399"/>
    <w:rPr>
      <w:rFonts w:ascii="Times New Roman" w:eastAsia="Times New Roman" w:hAnsi="Times New Roman" w:cs="Times New Roman"/>
      <w:b/>
      <w:bCs/>
      <w:sz w:val="36"/>
      <w:szCs w:val="36"/>
      <w:u w:val="single" w:color="000000"/>
    </w:rPr>
  </w:style>
  <w:style w:type="character" w:customStyle="1" w:styleId="BodyTextChar">
    <w:name w:val="Body Text Char"/>
    <w:basedOn w:val="DefaultParagraphFont"/>
    <w:link w:val="BodyText"/>
    <w:uiPriority w:val="1"/>
    <w:rsid w:val="00556FDB"/>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C50399"/>
    <w:rPr>
      <w:vertAlign w:val="superscript"/>
    </w:rPr>
  </w:style>
  <w:style w:type="character" w:customStyle="1" w:styleId="DocIDChar">
    <w:name w:val="DocID Char"/>
    <w:basedOn w:val="BodyTextChar"/>
    <w:link w:val="DocID"/>
    <w:rsid w:val="006C194D"/>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896CF-F7F2-4DBC-8728-972EFCA5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Microsoft Word - Written Description North Jacksonville Industrial PUD_5-1-18.doc</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Written Description North Jacksonville Industrial PUD_5-1-18.doc</dc:title>
  <dc:creator>DRoss</dc:creator>
  <cp:lastModifiedBy>Lewis, Bruce</cp:lastModifiedBy>
  <cp:revision>2</cp:revision>
  <cp:lastPrinted>2019-01-30T20:25:00Z</cp:lastPrinted>
  <dcterms:created xsi:type="dcterms:W3CDTF">2019-01-31T20:37:00Z</dcterms:created>
  <dcterms:modified xsi:type="dcterms:W3CDTF">2019-01-31T20:37:00Z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Creator">
    <vt:lpwstr>PScript5.dll Version 5.2.2</vt:lpwstr>
  </property>
  <property fmtid="{D5CDD505-2E9C-101B-9397-08002B2CF9AE}" pid="4" name="LastSaved">
    <vt:filetime>2018-05-02T00:00:00Z</vt:filetime>
  </property>
  <property fmtid="{D5CDD505-2E9C-101B-9397-08002B2CF9AE}" pid="5" name="CUS_DocIDString">
    <vt:lpwstr>46030599;6</vt:lpwstr>
  </property>
  <property fmtid="{D5CDD505-2E9C-101B-9397-08002B2CF9AE}" pid="6" name="CUS_DocIDChunk0">
    <vt:lpwstr>46030599;6</vt:lpwstr>
  </property>
  <property fmtid="{D5CDD505-2E9C-101B-9397-08002B2CF9AE}" pid="7" name="CUS_DocIDActiveBits">
    <vt:lpwstr>98304</vt:lpwstr>
  </property>
  <property fmtid="{D5CDD505-2E9C-101B-9397-08002B2CF9AE}" pid="8" name="CUS_DocIDLocation">
    <vt:lpwstr>EVERY_PAGE</vt:lpwstr>
  </property>
  <property fmtid="{D5CDD505-2E9C-101B-9397-08002B2CF9AE}" pid="9" name="CUS_DocIDReference">
    <vt:lpwstr>everyPage</vt:lpwstr>
  </property>
  <property fmtid="{D5CDD505-2E9C-101B-9397-08002B2CF9AE}" pid="10" name="DocumentOpen">
    <vt:lpwstr>-1</vt:lpwstr>
  </property>
</Properties>
</file>